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54" w:rsidRDefault="00635326">
      <w:pPr>
        <w:jc w:val="center"/>
      </w:pPr>
      <w:r>
        <w:rPr>
          <w:noProof/>
          <w:lang w:val="en-US"/>
        </w:rPr>
        <w:drawing>
          <wp:inline distT="0" distB="0" distL="0" distR="0">
            <wp:extent cx="1362075" cy="62865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C4254" w:rsidRDefault="00635326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Archdiocese of Milwaukee 175th Anniversary</w:t>
      </w:r>
    </w:p>
    <w:p w:rsidR="00DC4254" w:rsidRDefault="00DC4254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High School Unit Plan - Grades 9-10: Formation of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Neighborhoods</w:t>
      </w:r>
      <w:proofErr w:type="spellEnd"/>
    </w:p>
    <w:p w:rsidR="00DC4254" w:rsidRDefault="00DC4254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Possible Courses: Theology, Sociology, Geography, Political Science, Humanities, English, US History.</w:t>
      </w:r>
    </w:p>
    <w:p w:rsidR="00DC4254" w:rsidRDefault="00DC425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Essential Question: </w:t>
      </w:r>
      <w:r>
        <w:rPr>
          <w:rFonts w:ascii="Cambria" w:eastAsia="Cambria" w:hAnsi="Cambria" w:cs="Cambria"/>
          <w:b/>
          <w:sz w:val="24"/>
          <w:szCs w:val="24"/>
          <w:highlight w:val="white"/>
        </w:rPr>
        <w:t>How does the Church navigate the challenges of cultural diversity to remain relevant in carrying out its mission</w:t>
      </w:r>
      <w:r>
        <w:rPr>
          <w:rFonts w:ascii="Cambria" w:eastAsia="Cambria" w:hAnsi="Cambria" w:cs="Cambria"/>
          <w:b/>
          <w:sz w:val="24"/>
          <w:szCs w:val="24"/>
        </w:rPr>
        <w:t>?</w:t>
      </w:r>
    </w:p>
    <w:p w:rsidR="00DC4254" w:rsidRDefault="00DC4254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 xml:space="preserve">Key Understandings:  </w:t>
      </w: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Global events such as wars and political events influenced waves of immigration.</w:t>
      </w: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Decisions made by Church leaders had 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 impact on immigration (formation of seminary; immigrant languages used in mass; fundraising campaigns abroad).</w:t>
      </w: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Faith communities were formed as a means to preserve native cultures and to help people adapt to life in Wisconsin – “Language preserves cultur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e.”</w:t>
      </w: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The Church influenced the establishment of ‘islands’ of culture and heritage.</w:t>
      </w: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Neighborhoods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were formed as a result of various waves of immigration.</w:t>
      </w:r>
    </w:p>
    <w:p w:rsidR="00DC4254" w:rsidRDefault="00DC4254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spacing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Suggested Activities:</w:t>
      </w: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Who arrived and when: 1830-1930: Germans (50,000 as of late 1850s), Polish (30,0</w:t>
      </w:r>
      <w:r>
        <w:rPr>
          <w:rFonts w:ascii="Cambria" w:eastAsia="Cambria" w:hAnsi="Cambria" w:cs="Cambria"/>
          <w:b/>
          <w:sz w:val="24"/>
          <w:szCs w:val="24"/>
        </w:rPr>
        <w:t>00), British, Irish, Scandinavians, Serbs, Russian Jews, Mexicans (1920s), Hmong (15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,1000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>), Italians and African-Americans (</w:t>
      </w:r>
      <w:hyperlink r:id="rId6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www.milwaukeehistory.net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).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Reasons for different waves of immigration – politics in Germany and the ‘forty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eighters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’ fleeing Germany; Hmong influx following the Vietnam W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ar.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How Church decisions impacted upon the arrival of particular ethnic groups in Milwaukee – Avella p.39: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Henni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’s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insistence of people not being deprived of their native tongue and religion; ethnicities of priests listed in Demographic Portrait. 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Impact upon Native groups and vice versa – European immigrants caused 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mall </w:t>
      </w: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ox to spread to Native population, killing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many people;  In 1831, Menominee Indians gift of land to both the West and East of the Milwaukee River, and Chippewa, Potawatomi and Ottawa later agreed to do the same; 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Kilbourn’s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fraudulent inclusion of Potawatomi land during an 1835 survey dispossessed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Native Americans and influenced the merging of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Juneautown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Kilbourntown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(</w:t>
      </w:r>
      <w:hyperlink r:id="rId7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www.t</w:t>
        </w:r>
      </w:hyperlink>
      <w:hyperlink r:id="rId8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hemakingofmilwaukee.com</w:t>
        </w:r>
      </w:hyperlink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and </w:t>
      </w:r>
      <w:hyperlink r:id="rId9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www.m</w:t>
        </w:r>
      </w:hyperlink>
      <w:hyperlink r:id="rId10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ilwaukeehistory.net</w:t>
        </w:r>
      </w:hyperlink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How Milwaukee became one coherent city – the economic effects of the Bridge War in 1845 meant that the cities of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Kilbourntown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/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Juneautown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and Walker’s Point had to mer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ge in order to survive.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bookmarkStart w:id="0" w:name="_gjdgxs" w:colFirst="0" w:colLast="0"/>
      <w:bookmarkEnd w:id="0"/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How the arrival of different groups in turn impacted the formation of faith communities and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neighborhoods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, e.</w:t>
      </w:r>
      <w:r>
        <w:rPr>
          <w:rFonts w:ascii="Cambria" w:eastAsia="Cambria" w:hAnsi="Cambria" w:cs="Cambria"/>
          <w:b/>
          <w:sz w:val="24"/>
          <w:szCs w:val="24"/>
        </w:rPr>
        <w:t>g. the influx of Mexican immigrants in the 1920s led to creation of Church communities such as Our Lady of Guadalupe on 5t</w:t>
      </w:r>
      <w:r>
        <w:rPr>
          <w:rFonts w:ascii="Cambria" w:eastAsia="Cambria" w:hAnsi="Cambria" w:cs="Cambria"/>
          <w:b/>
          <w:sz w:val="24"/>
          <w:szCs w:val="24"/>
        </w:rPr>
        <w:t>h Street in 1926 and many other South Side churches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(Avella p.49-50: ‘Series of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Catholicisms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’ established by distinct ethnicities, and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hyperlink r:id="rId11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www.</w:t>
        </w:r>
      </w:hyperlink>
      <w:hyperlink r:id="rId12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themakingofmilwaukee.com/people/stories.cfm</w:t>
        </w:r>
      </w:hyperlink>
      <w:r>
        <w:rPr>
          <w:rFonts w:ascii="Cambria" w:eastAsia="Cambria" w:hAnsi="Cambria" w:cs="Cambria"/>
          <w:b/>
          <w:sz w:val="24"/>
          <w:szCs w:val="24"/>
        </w:rPr>
        <w:t>).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Local industry influenced by immigration, e.g. </w:t>
      </w:r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Pabst, Miller, Schlitz and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>Blatz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  <w:highlight w:val="white"/>
        </w:rPr>
        <w:t xml:space="preserve"> breweries.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How the Church shaped local communities through the creation of schools – Avila: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Messmer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Marquette, the work of the School Sisters of St. Francis and Notre Dame,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Alverno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Marian, Mount Mary and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Stritch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. Also St. Francis and Sacred Heart Seminar</w:t>
      </w:r>
      <w:r>
        <w:rPr>
          <w:rFonts w:ascii="Cambria" w:eastAsia="Cambria" w:hAnsi="Cambria" w:cs="Cambria"/>
          <w:b/>
          <w:sz w:val="24"/>
          <w:szCs w:val="24"/>
        </w:rPr>
        <w:t>ies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.</w:t>
      </w:r>
    </w:p>
    <w:p w:rsidR="00DC4254" w:rsidRDefault="00DC4254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Neigh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borhood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map</w:t>
      </w:r>
      <w:r>
        <w:rPr>
          <w:rFonts w:ascii="Cambria" w:eastAsia="Cambria" w:hAnsi="Cambria" w:cs="Cambria"/>
          <w:b/>
          <w:sz w:val="24"/>
          <w:szCs w:val="24"/>
        </w:rPr>
        <w:t xml:space="preserve"> and Archdiocesan maps (</w:t>
      </w:r>
      <w:hyperlink r:id="rId13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www.themakingofmilwaukee.com/classroom/map_game.cfm</w:t>
        </w:r>
      </w:hyperlink>
      <w:r>
        <w:rPr>
          <w:rFonts w:ascii="Cambria" w:eastAsia="Cambria" w:hAnsi="Cambria" w:cs="Cambria"/>
          <w:b/>
          <w:sz w:val="24"/>
          <w:szCs w:val="24"/>
        </w:rPr>
        <w:t>).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Conduct interviews of individuals who will have insights regarding the immigrant experience in the Church.</w:t>
      </w: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Brainstorm a list of individuals who will have unique perspectives.</w:t>
      </w: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Decide on a common list of questions to be asked.</w:t>
      </w: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Working with a partner, conduct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an interview of assigned individual(s).</w:t>
      </w: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Use the resources at </w:t>
      </w:r>
      <w:hyperlink r:id="rId14">
        <w:r>
          <w:rPr>
            <w:rFonts w:ascii="Cambria" w:eastAsia="Cambria" w:hAnsi="Cambria" w:cs="Cambria"/>
            <w:b/>
            <w:color w:val="1155CC"/>
            <w:sz w:val="24"/>
            <w:szCs w:val="24"/>
            <w:u w:val="single"/>
          </w:rPr>
          <w:t>https://storycorps.org/discover/education/</w:t>
        </w:r>
      </w:hyperlink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to learn interview skills.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Creating of a timeline of events </w:t>
      </w:r>
      <w:r>
        <w:rPr>
          <w:rFonts w:ascii="Cambria" w:eastAsia="Cambria" w:hAnsi="Cambria" w:cs="Cambria"/>
          <w:b/>
          <w:sz w:val="24"/>
          <w:szCs w:val="24"/>
        </w:rPr>
        <w:t>using “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Demographic Portrait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of Milwaukee</w:t>
      </w:r>
      <w:r>
        <w:rPr>
          <w:rFonts w:ascii="Cambria" w:eastAsia="Cambria" w:hAnsi="Cambria" w:cs="Cambria"/>
          <w:b/>
          <w:sz w:val="24"/>
          <w:szCs w:val="24"/>
        </w:rPr>
        <w:t>” to show how waves of immigration followed world events.</w:t>
      </w:r>
    </w:p>
    <w:p w:rsidR="00DC4254" w:rsidRDefault="00DC4254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Comparison of immigration figures with graphs showing nationalities of clergy, using “Demographic Portrait of Milwaukee.”</w:t>
      </w:r>
    </w:p>
    <w:p w:rsidR="00DC4254" w:rsidRDefault="00DC4254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Creation of video for Archdiocese website. (See V</w:t>
      </w:r>
      <w:r>
        <w:rPr>
          <w:rFonts w:ascii="Cambria" w:eastAsia="Cambria" w:hAnsi="Cambria" w:cs="Cambria"/>
          <w:b/>
          <w:sz w:val="24"/>
          <w:szCs w:val="24"/>
        </w:rPr>
        <w:t>ideo Guidelines and Application)</w:t>
      </w:r>
    </w:p>
    <w:p w:rsidR="00DC4254" w:rsidRDefault="00DC4254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“Expert” groups – peer groups exchanging information with other groups</w:t>
      </w:r>
      <w:r>
        <w:rPr>
          <w:rFonts w:ascii="Cambria" w:eastAsia="Cambria" w:hAnsi="Cambria" w:cs="Cambria"/>
          <w:b/>
          <w:sz w:val="24"/>
          <w:szCs w:val="24"/>
        </w:rPr>
        <w:t xml:space="preserve"> on the different ethnic influxes (see ‘Making of Milwaukee Ethnic Stories’ listed below in resources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. </w:t>
      </w:r>
    </w:p>
    <w:p w:rsidR="00DC4254" w:rsidRDefault="00DC4254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>Class presentations about how well the Church 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esponded to the challenges presented by the increasing diversity of Milwaukee’s population.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hanging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46" w:hanging="42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Comparison of how the Church in Milwaukee responded to immigration 1830-1930 vs. today.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46" w:hanging="425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Twitter posts from the point of view of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a an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immigrant newly arrived in Milwaukee.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C4254" w:rsidRDefault="00DC4254">
      <w:pPr>
        <w:spacing w:after="0" w:line="288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C4254" w:rsidRDefault="00635326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Assessment Ideas:</w:t>
      </w: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Creation of a graph showing immigration trends, using “Demographic Portrait of Milwaukee.”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426" w:hanging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Evaluation: integration vs. preservation of culture.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Create a mural representing the culture of one of the groups found in Milwaukee today.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Creating a travel guide for new visitors to the local area around the school.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Ideas for Reflection Tasks: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C4254" w:rsidRDefault="00635326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Diary entry or letter from the point of view of an immigran</w:t>
      </w:r>
      <w:r>
        <w:rPr>
          <w:rFonts w:ascii="Cambria" w:eastAsia="Cambria" w:hAnsi="Cambria" w:cs="Cambria"/>
          <w:b/>
          <w:sz w:val="24"/>
          <w:szCs w:val="24"/>
        </w:rPr>
        <w:t>t.</w:t>
      </w:r>
    </w:p>
    <w:p w:rsidR="00DC4254" w:rsidRDefault="00DC4254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Write a newspaper article on a world event that led to an increase in immigration in the Milwaukee area (e.g. Vietnam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war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led to an influx of Hmong immigrants).</w:t>
      </w:r>
    </w:p>
    <w:p w:rsidR="00DC4254" w:rsidRDefault="00DC4254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</w:p>
    <w:p w:rsidR="00DC4254" w:rsidRDefault="00635326">
      <w:pPr>
        <w:spacing w:after="0" w:line="288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“Integration leads to loss of one’s own culture.” Evaluate this statement.</w:t>
      </w:r>
    </w:p>
    <w:p w:rsidR="00DC4254" w:rsidRDefault="00635326">
      <w:pPr>
        <w:numPr>
          <w:ilvl w:val="0"/>
          <w:numId w:val="3"/>
        </w:numPr>
        <w:spacing w:after="0" w:line="288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You must includ</w:t>
      </w:r>
      <w:r>
        <w:rPr>
          <w:rFonts w:ascii="Cambria" w:eastAsia="Cambria" w:hAnsi="Cambria" w:cs="Cambria"/>
          <w:b/>
          <w:sz w:val="24"/>
          <w:szCs w:val="24"/>
        </w:rPr>
        <w:t>e more than one point of view.</w:t>
      </w:r>
    </w:p>
    <w:p w:rsidR="00DC4254" w:rsidRDefault="00635326">
      <w:pPr>
        <w:numPr>
          <w:ilvl w:val="0"/>
          <w:numId w:val="3"/>
        </w:numPr>
        <w:spacing w:after="0" w:line="288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You must use examples from Milwaukee’s history to support each argument.</w:t>
      </w:r>
    </w:p>
    <w:p w:rsidR="00DC4254" w:rsidRDefault="00635326">
      <w:pPr>
        <w:numPr>
          <w:ilvl w:val="0"/>
          <w:numId w:val="3"/>
        </w:numPr>
        <w:spacing w:after="0" w:line="288" w:lineRule="auto"/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You must include a justified conclusion.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Resources:</w:t>
      </w: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15" w:anchor="Irish">
        <w:proofErr w:type="gramStart"/>
        <w:r>
          <w:rPr>
            <w:rFonts w:ascii="Cambria" w:eastAsia="Cambria" w:hAnsi="Cambria" w:cs="Cambria"/>
            <w:b/>
            <w:color w:val="0B5394"/>
            <w:sz w:val="24"/>
            <w:szCs w:val="24"/>
            <w:u w:val="single"/>
          </w:rPr>
          <w:t>ht</w:t>
        </w:r>
        <w:proofErr w:type="gramEnd"/>
      </w:hyperlink>
      <w:hyperlink r:id="rId16" w:anchor="Irish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tp://www.themakingofmilwaukee.com/people/stories.cfm#Irish</w:t>
        </w:r>
      </w:hyperlink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 xml:space="preserve"> </w:t>
      </w: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17" w:anchor="german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http://www.themakingofmilw</w:t>
        </w:r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aukee.com/people/stories.cfm#german</w:t>
        </w:r>
      </w:hyperlink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18" w:anchor="Polish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http://www.themakingofmilwaukee.com/people/stories.cfm#Polish</w:t>
        </w:r>
      </w:hyperlink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19" w:anchor="African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http://www.themakingofmilwaukee.com/people/stories.cfm#African</w:t>
        </w:r>
      </w:hyperlink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20" w:anchor="Italian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http://www.themaking</w:t>
        </w:r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ofmilwaukee.com/people/stories.cfm#Italian</w:t>
        </w:r>
      </w:hyperlink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21" w:anchor="Latino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http://www.themakingofmilwaukee.com/people/stories.cfm#Latino</w:t>
        </w:r>
      </w:hyperlink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22" w:anchor="Hmong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http://www.themakingofmilwaukee.com/people/stories.cfm#Hmong</w:t>
        </w:r>
      </w:hyperlink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</w:p>
    <w:p w:rsidR="00DC4254" w:rsidRDefault="00635326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hyperlink r:id="rId23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http://www.themakingofmilwaukee.com/classroom/pdf/stories/A-Famo</w:t>
        </w:r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us-Milwaukee-Citizen.pdf</w:t>
        </w:r>
      </w:hyperlink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</w:p>
    <w:p w:rsidR="00DC4254" w:rsidRDefault="00635326">
      <w:pPr>
        <w:spacing w:after="0" w:line="345" w:lineRule="auto"/>
        <w:rPr>
          <w:rFonts w:ascii="Cambria" w:eastAsia="Cambria" w:hAnsi="Cambria" w:cs="Cambria"/>
          <w:color w:val="0563C1"/>
          <w:sz w:val="24"/>
          <w:szCs w:val="24"/>
        </w:rPr>
      </w:pPr>
      <w:hyperlink r:id="rId24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 xml:space="preserve">"The </w:t>
        </w:r>
        <w:proofErr w:type="spellStart"/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Catholicisms</w:t>
        </w:r>
        <w:proofErr w:type="spellEnd"/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 xml:space="preserve"> of Wisconsin" Rev. Steven Avella </w:t>
        </w:r>
      </w:hyperlink>
      <w:hyperlink r:id="rId25">
        <w:proofErr w:type="gramStart"/>
        <w:r>
          <w:rPr>
            <w:rFonts w:ascii="Cambria" w:eastAsia="Cambria" w:hAnsi="Cambria" w:cs="Cambria"/>
            <w:b/>
            <w:i/>
            <w:color w:val="0563C1"/>
            <w:sz w:val="24"/>
            <w:szCs w:val="24"/>
            <w:u w:val="single"/>
          </w:rPr>
          <w:t>In</w:t>
        </w:r>
        <w:proofErr w:type="gramEnd"/>
        <w:r>
          <w:rPr>
            <w:rFonts w:ascii="Cambria" w:eastAsia="Cambria" w:hAnsi="Cambria" w:cs="Cambria"/>
            <w:b/>
            <w:i/>
            <w:color w:val="0563C1"/>
            <w:sz w:val="24"/>
            <w:szCs w:val="24"/>
            <w:u w:val="single"/>
          </w:rPr>
          <w:t xml:space="preserve"> the Richness of the Earth</w:t>
        </w:r>
      </w:hyperlink>
      <w:hyperlink r:id="rId26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 xml:space="preserve"> pp. 49-50.</w:t>
        </w:r>
      </w:hyperlink>
    </w:p>
    <w:p w:rsidR="00DC4254" w:rsidRDefault="00635326">
      <w:pPr>
        <w:spacing w:after="0" w:line="345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"https://www.archmil.org/ArchdioceseofMilwaukee/</w:instrText>
      </w:r>
      <w:r>
        <w:instrText xml:space="preserve">history/Avella-049-050-Catholicisms-of-WI.pdf" </w:instrText>
      </w:r>
      <w:r>
        <w:fldChar w:fldCharType="separate"/>
      </w:r>
    </w:p>
    <w:p w:rsidR="00DC4254" w:rsidRDefault="00635326">
      <w:pPr>
        <w:spacing w:after="0" w:line="345" w:lineRule="auto"/>
        <w:rPr>
          <w:rFonts w:ascii="Cambria" w:eastAsia="Cambria" w:hAnsi="Cambria" w:cs="Cambria"/>
          <w:color w:val="0563C1"/>
          <w:sz w:val="24"/>
          <w:szCs w:val="24"/>
        </w:rPr>
      </w:pPr>
      <w:r>
        <w:fldChar w:fldCharType="end"/>
      </w:r>
      <w:hyperlink r:id="rId27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Historical Overview of the Archdiocese of Milwaukee including articles and archival documents.</w:t>
        </w:r>
      </w:hyperlink>
    </w:p>
    <w:p w:rsidR="00DC4254" w:rsidRDefault="00DC4254">
      <w:pPr>
        <w:spacing w:after="0" w:line="345" w:lineRule="auto"/>
        <w:rPr>
          <w:rFonts w:ascii="Cambria" w:eastAsia="Cambria" w:hAnsi="Cambria" w:cs="Cambria"/>
          <w:color w:val="0563C1"/>
          <w:sz w:val="24"/>
          <w:szCs w:val="24"/>
        </w:rPr>
      </w:pPr>
    </w:p>
    <w:p w:rsidR="00DC4254" w:rsidRDefault="00635326">
      <w:pPr>
        <w:spacing w:after="0" w:line="345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28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Catholic Social Teachings</w:t>
        </w:r>
      </w:hyperlink>
    </w:p>
    <w:p w:rsidR="00DC4254" w:rsidRDefault="00DC4254">
      <w:pPr>
        <w:spacing w:after="0" w:line="345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DC4254" w:rsidRDefault="00635326">
      <w:pPr>
        <w:spacing w:after="0" w:line="345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"https://schools.archmil.org/CentersofExcellence/DOCsPDFs/175th/Archdioc</w:instrText>
      </w:r>
      <w:r>
        <w:instrText xml:space="preserve">eseofMilwaukee175thVideoSubmissionApplication.pdf"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Archdiocese of Milwaukee 175th Video Submission Application</w:t>
      </w:r>
    </w:p>
    <w:p w:rsidR="00DC4254" w:rsidRDefault="00635326">
      <w:pPr>
        <w:spacing w:after="0" w:line="345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p w:rsidR="00DC4254" w:rsidRDefault="00635326">
      <w:pPr>
        <w:spacing w:after="0" w:line="345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"https://schools.archmil.org/CentersofExcellence/DOCsPDFs/175th/VideoGuidelinesandSubmissionProcessFinal5.18.pdf"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Video Guideline</w:t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s and Submission Process</w:t>
      </w:r>
    </w:p>
    <w:p w:rsidR="00DC4254" w:rsidRDefault="00635326">
      <w:pPr>
        <w:spacing w:after="0" w:line="345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</w:t>
      </w:r>
    </w:p>
    <w:bookmarkStart w:id="1" w:name="_GoBack"/>
    <w:bookmarkEnd w:id="1"/>
    <w:p w:rsidR="00DC4254" w:rsidRDefault="00635326">
      <w:pPr>
        <w:spacing w:after="0" w:line="345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begin"/>
      </w:r>
      <w:r>
        <w:instrText xml:space="preserve"> HYPERLINK "https://schools.archmil.org/CentersofExcellence/DOCsPDFs/VideoRubric.pdf" \h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Video Rubric</w:t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fldChar w:fldCharType="end"/>
      </w:r>
      <w:r>
        <w:rPr>
          <w:rFonts w:ascii="Cambria" w:eastAsia="Cambria" w:hAnsi="Cambria" w:cs="Cambria"/>
          <w:b/>
          <w:color w:val="0563C1"/>
          <w:sz w:val="24"/>
          <w:szCs w:val="24"/>
        </w:rPr>
        <w:t xml:space="preserve">   </w:t>
      </w:r>
    </w:p>
    <w:p w:rsidR="00DC4254" w:rsidRDefault="00DC4254">
      <w:pPr>
        <w:spacing w:after="0" w:line="345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</w:p>
    <w:p w:rsidR="00DC4254" w:rsidRDefault="00DC4254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Cambria" w:eastAsia="Cambria" w:hAnsi="Cambria" w:cs="Cambria"/>
          <w:color w:val="1C4587"/>
          <w:sz w:val="24"/>
          <w:szCs w:val="24"/>
          <w:u w:val="single"/>
        </w:rPr>
      </w:pPr>
    </w:p>
    <w:sectPr w:rsidR="00DC4254">
      <w:pgSz w:w="12240" w:h="15840"/>
      <w:pgMar w:top="1440" w:right="1041" w:bottom="14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5DCA"/>
    <w:multiLevelType w:val="multilevel"/>
    <w:tmpl w:val="93DCCE2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397D82"/>
    <w:multiLevelType w:val="multilevel"/>
    <w:tmpl w:val="5058D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466E2B"/>
    <w:multiLevelType w:val="multilevel"/>
    <w:tmpl w:val="8E8AD0B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54"/>
    <w:rsid w:val="00635326"/>
    <w:rsid w:val="00DC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55F68"/>
  <w15:docId w15:val="{5415AB68-9453-4197-B736-54B54860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akingofmilwaukee.com" TargetMode="External"/><Relationship Id="rId13" Type="http://schemas.openxmlformats.org/officeDocument/2006/relationships/hyperlink" Target="http://www.themakingofmilwaukee.com/classroom/map_game.cfm" TargetMode="External"/><Relationship Id="rId18" Type="http://schemas.openxmlformats.org/officeDocument/2006/relationships/hyperlink" Target="http://www.themakingofmilwaukee.com/people/stories.cfm" TargetMode="External"/><Relationship Id="rId26" Type="http://schemas.openxmlformats.org/officeDocument/2006/relationships/hyperlink" Target="https://www.archmil.org/ArchdioceseofMilwaukee/history/Avella-049-050-Catholicisms-of-WI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makingofmilwaukee.com/people/stories.cfm" TargetMode="External"/><Relationship Id="rId7" Type="http://schemas.openxmlformats.org/officeDocument/2006/relationships/hyperlink" Target="http://www.hemakingofmilwaukee.com" TargetMode="External"/><Relationship Id="rId12" Type="http://schemas.openxmlformats.org/officeDocument/2006/relationships/hyperlink" Target="http://www.themakingofmilwaukee.com/people/stories.cfm" TargetMode="External"/><Relationship Id="rId17" Type="http://schemas.openxmlformats.org/officeDocument/2006/relationships/hyperlink" Target="http://www.themakingofmilwaukee.com/people/stories.cfm" TargetMode="External"/><Relationship Id="rId25" Type="http://schemas.openxmlformats.org/officeDocument/2006/relationships/hyperlink" Target="https://www.archmil.org/ArchdioceseofMilwaukee/history/Avella-049-050-Catholicisms-of-WI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makingofmilwaukee.com/people/stories.cfm" TargetMode="External"/><Relationship Id="rId20" Type="http://schemas.openxmlformats.org/officeDocument/2006/relationships/hyperlink" Target="http://www.themakingofmilwaukee.com/people/stories.cf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ilwaukeehistory.net" TargetMode="External"/><Relationship Id="rId11" Type="http://schemas.openxmlformats.org/officeDocument/2006/relationships/hyperlink" Target="http://www.themakingofmilwaukee.com/people/stories.cfm" TargetMode="External"/><Relationship Id="rId24" Type="http://schemas.openxmlformats.org/officeDocument/2006/relationships/hyperlink" Target="https://www.archmil.org/ArchdioceseofMilwaukee/history/Avella-049-050-Catholicisms-of-WI.pdf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themakingofmilwaukee.com/people/stories.cfm" TargetMode="External"/><Relationship Id="rId23" Type="http://schemas.openxmlformats.org/officeDocument/2006/relationships/hyperlink" Target="http://www.themakingofmilwaukee.com/classroom/pdf/stories/A-Famous-Milwaukee-Citizen.pdf" TargetMode="External"/><Relationship Id="rId28" Type="http://schemas.openxmlformats.org/officeDocument/2006/relationships/hyperlink" Target="http://www.usccb.org/beliefs-and-teachings/what-we-believe/catholic-social-teaching/seven-themes-of-catholic-social-teaching.cfm" TargetMode="External"/><Relationship Id="rId10" Type="http://schemas.openxmlformats.org/officeDocument/2006/relationships/hyperlink" Target="http://www.milwaukeehistory.net" TargetMode="External"/><Relationship Id="rId19" Type="http://schemas.openxmlformats.org/officeDocument/2006/relationships/hyperlink" Target="http://www.themakingofmilwaukee.com/people/stories.c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waukeehistory.net" TargetMode="External"/><Relationship Id="rId14" Type="http://schemas.openxmlformats.org/officeDocument/2006/relationships/hyperlink" Target="https://storycorps.org/discover/education/" TargetMode="External"/><Relationship Id="rId22" Type="http://schemas.openxmlformats.org/officeDocument/2006/relationships/hyperlink" Target="http://www.themakingofmilwaukee.com/people/stories.cfm" TargetMode="External"/><Relationship Id="rId27" Type="http://schemas.openxmlformats.org/officeDocument/2006/relationships/hyperlink" Target="https://www.archmil.org/AboutUs/175th-Anniversary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7043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Taylor</dc:creator>
  <cp:lastModifiedBy>Shelly Taylor</cp:lastModifiedBy>
  <cp:revision>2</cp:revision>
  <dcterms:created xsi:type="dcterms:W3CDTF">2018-08-14T16:11:00Z</dcterms:created>
  <dcterms:modified xsi:type="dcterms:W3CDTF">2018-08-14T16:11:00Z</dcterms:modified>
</cp:coreProperties>
</file>